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D3140C">
      <w:pPr>
        <w:pStyle w:val="berschrift1"/>
        <w:numPr>
          <w:ilvl w:val="0"/>
          <w:numId w:val="0"/>
        </w:numPr>
        <w:rPr>
          <w:lang w:val="en-US"/>
        </w:rPr>
      </w:pPr>
      <w:r w:rsidRPr="00483E76">
        <w:rPr>
          <w:lang w:val="en-US"/>
        </w:rPr>
        <w:t>FOR IMMEDIATE RELEASE</w:t>
      </w:r>
    </w:p>
    <w:p w14:paraId="31B5B2AD" w14:textId="77777777" w:rsidR="004D27A8" w:rsidRDefault="004D27A8" w:rsidP="004D27A8">
      <w:pPr>
        <w:pStyle w:val="Textkrper3"/>
        <w:spacing w:after="0"/>
        <w:rPr>
          <w:rFonts w:cs="Arial"/>
          <w:b w:val="0"/>
          <w:sz w:val="24"/>
          <w:lang w:val="en-US"/>
        </w:rPr>
      </w:pPr>
    </w:p>
    <w:p w14:paraId="31247F19" w14:textId="77777777" w:rsidR="00A0035A" w:rsidRPr="00483E76" w:rsidRDefault="00A0035A" w:rsidP="004D27A8">
      <w:pPr>
        <w:pStyle w:val="Textkrper3"/>
        <w:spacing w:after="0"/>
        <w:rPr>
          <w:rFonts w:cs="Arial"/>
          <w:b w:val="0"/>
          <w:sz w:val="24"/>
          <w:lang w:val="en-US"/>
        </w:rPr>
      </w:pPr>
    </w:p>
    <w:p w14:paraId="563DD3C3" w14:textId="77777777" w:rsidR="000D3A08" w:rsidRDefault="000D3A08">
      <w:pPr>
        <w:rPr>
          <w:rFonts w:eastAsia="Arial" w:cs="Arial"/>
          <w:b/>
          <w:bCs/>
          <w:noProof/>
          <w:color w:val="000000" w:themeColor="text1"/>
          <w:sz w:val="32"/>
          <w:szCs w:val="32"/>
          <w:lang w:val="en-US"/>
        </w:rPr>
      </w:pPr>
      <w:r w:rsidRPr="000D3A08">
        <w:rPr>
          <w:rFonts w:eastAsia="Arial" w:cs="Arial"/>
          <w:b/>
          <w:bCs/>
          <w:noProof/>
          <w:color w:val="000000" w:themeColor="text1"/>
          <w:sz w:val="32"/>
          <w:szCs w:val="32"/>
          <w:lang w:val="en-US"/>
        </w:rPr>
        <w:t>Basler AG Reaches Record Sales in the First Half-Year and Starts the Second Half-Year with Continued High Order Backlog</w:t>
      </w:r>
    </w:p>
    <w:p w14:paraId="56A46492" w14:textId="69C56EF0" w:rsidR="46708444" w:rsidRPr="00DD6907" w:rsidRDefault="46708444">
      <w:pPr>
        <w:rPr>
          <w:lang w:val="en-US"/>
        </w:rPr>
      </w:pPr>
      <w:r w:rsidRPr="46708444">
        <w:rPr>
          <w:rFonts w:eastAsia="Arial" w:cs="Arial"/>
          <w:b/>
          <w:bCs/>
          <w:noProof/>
          <w:color w:val="000000" w:themeColor="text1"/>
          <w:sz w:val="22"/>
          <w:szCs w:val="22"/>
          <w:lang w:val="en-US"/>
        </w:rPr>
        <w:t xml:space="preserve"> </w:t>
      </w:r>
    </w:p>
    <w:p w14:paraId="6C6268DC" w14:textId="11DBFC69" w:rsidR="46708444" w:rsidRDefault="46708444" w:rsidP="46708444">
      <w:pPr>
        <w:rPr>
          <w:rFonts w:eastAsia="Arial" w:cs="Arial"/>
          <w:noProof/>
          <w:sz w:val="24"/>
          <w:szCs w:val="24"/>
          <w:lang w:val="en-US"/>
        </w:rPr>
      </w:pPr>
      <w:r w:rsidRPr="46708444">
        <w:rPr>
          <w:rFonts w:eastAsia="Arial" w:cs="Arial"/>
          <w:b/>
          <w:bCs/>
          <w:noProof/>
          <w:sz w:val="24"/>
          <w:szCs w:val="24"/>
          <w:lang w:val="en-US"/>
        </w:rPr>
        <w:t xml:space="preserve">Ahrensburg, August 3, 2022 </w:t>
      </w:r>
      <w:r w:rsidRPr="46708444">
        <w:rPr>
          <w:rFonts w:eastAsia="Arial" w:cs="Arial"/>
          <w:noProof/>
          <w:sz w:val="24"/>
          <w:szCs w:val="24"/>
          <w:lang w:val="en-US"/>
        </w:rPr>
        <w:t>–</w:t>
      </w:r>
      <w:r w:rsidRPr="46708444">
        <w:rPr>
          <w:rFonts w:eastAsia="Arial" w:cs="Arial"/>
          <w:noProof/>
          <w:lang w:val="en-US"/>
        </w:rPr>
        <w:t xml:space="preserve"> </w:t>
      </w:r>
      <w:r w:rsidRPr="46708444">
        <w:rPr>
          <w:rFonts w:eastAsia="Arial" w:cs="Arial"/>
          <w:noProof/>
          <w:sz w:val="24"/>
          <w:szCs w:val="24"/>
          <w:lang w:val="en-US"/>
        </w:rPr>
        <w:t>Basler AG is today presenting final figures for the first half-year of 2022. The Basler group reached new record sales in the first six months and broke through the barrier of 1000 employees. The first half-year of 2022 was characterized by the ongoing semi-conductor crisis, Chinese lockdowns, a normalization of demand, and the active strategic efforts to become a full-range provider for image processing components with direct market access.</w:t>
      </w:r>
      <w:r w:rsidRPr="00DD6907">
        <w:rPr>
          <w:lang w:val="en-US"/>
        </w:rPr>
        <w:br/>
      </w:r>
      <w:r w:rsidRPr="46708444">
        <w:rPr>
          <w:rFonts w:eastAsia="Arial" w:cs="Arial"/>
          <w:noProof/>
          <w:sz w:val="24"/>
          <w:szCs w:val="24"/>
          <w:lang w:val="en-US"/>
        </w:rPr>
        <w:t xml:space="preserve"> </w:t>
      </w:r>
      <w:r w:rsidRPr="00DD6907">
        <w:rPr>
          <w:lang w:val="en-US"/>
        </w:rPr>
        <w:br/>
      </w:r>
      <w:r w:rsidRPr="46708444">
        <w:rPr>
          <w:rFonts w:eastAsia="Arial" w:cs="Arial"/>
          <w:noProof/>
          <w:sz w:val="24"/>
          <w:szCs w:val="24"/>
          <w:lang w:val="en-US"/>
        </w:rPr>
        <w:t xml:space="preserve">Compared to the reference period 2021, sales increased by 14 % to Euro 130.8 million (previous year: Euro 115.2 million). Compared to the strong first half-year of 2021, incoming orders slightly decreased by 3 % to Euro 147.9 million (previous year: Euro 152.4 million). After six quarters with very high incoming orders and significant positive book-to-bill ratios, incoming orders normalized in the course of the first half-year. This normalization additionally accelerated due to lock-down related market weaknesses in China in the second quarter. </w:t>
      </w:r>
    </w:p>
    <w:p w14:paraId="7E11B347" w14:textId="00675153" w:rsidR="46708444" w:rsidRPr="00DD6907" w:rsidRDefault="46708444">
      <w:pPr>
        <w:rPr>
          <w:lang w:val="en-US"/>
        </w:rPr>
      </w:pPr>
      <w:r w:rsidRPr="00DD6907">
        <w:rPr>
          <w:lang w:val="en-US"/>
        </w:rPr>
        <w:br/>
      </w:r>
      <w:r w:rsidRPr="46708444">
        <w:rPr>
          <w:rFonts w:eastAsia="Arial" w:cs="Arial"/>
          <w:noProof/>
          <w:sz w:val="24"/>
          <w:szCs w:val="24"/>
          <w:lang w:val="en-US"/>
        </w:rPr>
        <w:t xml:space="preserve">Compared to the very strong previous year, earnings before taxes decreased by Euro 6.0 million to Euro 14.8 million (previous year: Euro 20.8 million). However, at 11.3 % (previous year: 18.1 %) the pre-tax return margin is on a very solid level and in the upper range of the forecast as well as close to the working point of Basler’s profitable growth strategy aiming at a pre-tax return margin of approximately 12 % as well as a medium sales growth of 15 % per year. </w:t>
      </w:r>
    </w:p>
    <w:p w14:paraId="7A4F8F7E" w14:textId="6F3BDA3C" w:rsidR="46708444" w:rsidRDefault="46708444" w:rsidP="46708444">
      <w:pPr>
        <w:rPr>
          <w:rFonts w:eastAsia="Arial" w:cs="Arial"/>
          <w:b/>
          <w:bCs/>
          <w:noProof/>
          <w:sz w:val="24"/>
          <w:szCs w:val="24"/>
          <w:lang w:val="en-US"/>
        </w:rPr>
      </w:pPr>
      <w:r w:rsidRPr="46708444">
        <w:rPr>
          <w:rFonts w:eastAsia="Arial" w:cs="Arial"/>
          <w:b/>
          <w:bCs/>
          <w:noProof/>
          <w:sz w:val="24"/>
          <w:szCs w:val="24"/>
          <w:lang w:val="en-US"/>
        </w:rPr>
        <w:t>Outlook</w:t>
      </w:r>
    </w:p>
    <w:p w14:paraId="0FA22AC7" w14:textId="1F0BEA15" w:rsidR="46708444" w:rsidRPr="00DD6907" w:rsidRDefault="46708444">
      <w:pPr>
        <w:rPr>
          <w:lang w:val="en-US"/>
        </w:rPr>
      </w:pPr>
      <w:r w:rsidRPr="46708444">
        <w:rPr>
          <w:rFonts w:eastAsia="Arial" w:cs="Arial"/>
          <w:noProof/>
          <w:sz w:val="24"/>
          <w:szCs w:val="24"/>
          <w:lang w:val="en-US"/>
        </w:rPr>
        <w:t xml:space="preserve">The Basler group closed the first six months of the financial year 2022 along its growth forecast. Despite decreasing incoming orders, lock-down related risks in demand in China, and a weakening economy, the management is fundamentally optimistic about the rest of the year. The high order backlog of approximately Euro 145 million leads to a strong demand situation in the upcoming quarters. Sales will mainly depend on the supply situation of critical semi-conductor components in the second half of the financial year. In order to adequately consider these risks, the management confirms its forecast until further notice, even though the level of business was at the upper end of the forecast corridor in the first half of the year. This provides for group’s sales of Euro 235 – 265 million at a pre-tax return margin of 9 – 12 %.  </w:t>
      </w:r>
    </w:p>
    <w:p w14:paraId="74DBF402" w14:textId="6EFE972B" w:rsidR="46708444" w:rsidRPr="00DD6907" w:rsidRDefault="46708444">
      <w:pPr>
        <w:rPr>
          <w:lang w:val="en-US"/>
        </w:rPr>
      </w:pPr>
      <w:r w:rsidRPr="46708444">
        <w:rPr>
          <w:rFonts w:eastAsia="Arial" w:cs="Arial"/>
          <w:noProof/>
          <w:sz w:val="24"/>
          <w:szCs w:val="24"/>
          <w:lang w:val="en-US"/>
        </w:rPr>
        <w:t>The full half year report 2022 can be seen on the company website (</w:t>
      </w:r>
      <w:hyperlink r:id="rId11">
        <w:r w:rsidRPr="46708444">
          <w:rPr>
            <w:rStyle w:val="Hyperlink"/>
            <w:rFonts w:eastAsia="Arial" w:cs="Arial"/>
            <w:noProof/>
            <w:sz w:val="24"/>
            <w:szCs w:val="24"/>
            <w:lang w:val="en-US"/>
          </w:rPr>
          <w:t>www.baslerweb.com</w:t>
        </w:r>
      </w:hyperlink>
      <w:r w:rsidRPr="46708444">
        <w:rPr>
          <w:rFonts w:eastAsia="Arial" w:cs="Arial"/>
          <w:noProof/>
          <w:sz w:val="24"/>
          <w:szCs w:val="24"/>
          <w:lang w:val="en-US"/>
        </w:rPr>
        <w:t>).</w:t>
      </w:r>
    </w:p>
    <w:p w14:paraId="6F868B02" w14:textId="41F76D60" w:rsidR="46708444" w:rsidRDefault="46708444" w:rsidP="46708444">
      <w:pPr>
        <w:rPr>
          <w:rFonts w:eastAsia="Arial" w:cs="Arial"/>
          <w:noProof/>
          <w:sz w:val="24"/>
          <w:szCs w:val="24"/>
          <w:lang w:val="en-US"/>
        </w:rPr>
      </w:pPr>
    </w:p>
    <w:p w14:paraId="41414DA0" w14:textId="7B6B667A" w:rsidR="001D2C21" w:rsidRPr="001D2C21" w:rsidRDefault="001D2C21" w:rsidP="47B47AF8">
      <w:pPr>
        <w:pBdr>
          <w:bottom w:val="single" w:sz="4" w:space="1" w:color="auto"/>
        </w:pBdr>
        <w:rPr>
          <w:rFonts w:cs="Arial"/>
          <w:b/>
          <w:bCs/>
          <w:sz w:val="22"/>
          <w:szCs w:val="22"/>
          <w:lang w:val="en-US"/>
        </w:rPr>
      </w:pPr>
      <w:r w:rsidRPr="47B47AF8">
        <w:rPr>
          <w:rFonts w:cs="Arial"/>
          <w:b/>
          <w:bCs/>
          <w:sz w:val="22"/>
          <w:szCs w:val="22"/>
          <w:lang w:val="en-US"/>
        </w:rPr>
        <w:t>Image caption:</w:t>
      </w:r>
      <w:r w:rsidR="47B47AF8" w:rsidRPr="47B47AF8">
        <w:rPr>
          <w:rFonts w:cs="Arial"/>
          <w:b/>
          <w:bCs/>
          <w:sz w:val="22"/>
          <w:szCs w:val="22"/>
          <w:lang w:val="en-US"/>
        </w:rPr>
        <w:t xml:space="preserve"> The Basler AG Headquarters in Ahrensburg</w:t>
      </w:r>
    </w:p>
    <w:p w14:paraId="014BC075" w14:textId="77777777" w:rsidR="004D27A8" w:rsidRPr="00483E76" w:rsidRDefault="004D27A8" w:rsidP="004D27A8">
      <w:pPr>
        <w:pBdr>
          <w:bottom w:val="single" w:sz="4" w:space="1" w:color="auto"/>
        </w:pBdr>
        <w:rPr>
          <w:rFonts w:cs="Arial"/>
          <w:sz w:val="22"/>
          <w:szCs w:val="22"/>
          <w:lang w:val="en-US"/>
        </w:rPr>
      </w:pPr>
    </w:p>
    <w:p w14:paraId="5FF2DAC8" w14:textId="44675ED8" w:rsidR="00D863D8" w:rsidRDefault="00D863D8" w:rsidP="75172D73">
      <w:pPr>
        <w:spacing w:before="240" w:after="0" w:line="280" w:lineRule="exact"/>
        <w:rPr>
          <w:lang w:val="en-US"/>
        </w:rPr>
      </w:pPr>
      <w:r w:rsidRPr="4DBA18A0">
        <w:rPr>
          <w:rFonts w:cs="Arial"/>
          <w:lang w:val="en-US"/>
        </w:rPr>
        <w:lastRenderedPageBreak/>
        <w:t xml:space="preserve">Basler is a leading international manufacturer of high-quality imaging components for computer vision applications. In addition to classic area scan and line scan cameras, lenses, frame grabbers, light modules, and software, the company offers embedded vision modules and solutions, 3D products, as well as customized products and consulting services. Basler's products are used in a variety of markets and applications, including factory automation, medical, logistics, retail, and robotics. They are characterized by high reliability, an excellent price/performance ratio, and long-term availability. Founded in 1988, the Basler Group employs around </w:t>
      </w:r>
      <w:r w:rsidR="1DBAD100" w:rsidRPr="4DBA18A0">
        <w:rPr>
          <w:rFonts w:cs="Arial"/>
          <w:lang w:val="en-US"/>
        </w:rPr>
        <w:t>10</w:t>
      </w:r>
      <w:r w:rsidRPr="4DBA18A0">
        <w:rPr>
          <w:rFonts w:cs="Arial"/>
          <w:lang w:val="en-US"/>
        </w:rPr>
        <w:t xml:space="preserve">00 people at its headquarters in Ahrensburg and other locations in Europe, Asia and North America. Thanks to its worldwide sales and service organization and cooperation with renowned partners, it offers solutions that fit for customers from a wide range of sectors. </w:t>
      </w:r>
    </w:p>
    <w:p w14:paraId="6726D2F2" w14:textId="76D4E219" w:rsidR="000948A6" w:rsidRPr="000948A6" w:rsidRDefault="000948A6" w:rsidP="000948A6">
      <w:pPr>
        <w:autoSpaceDE w:val="0"/>
        <w:autoSpaceDN w:val="0"/>
        <w:spacing w:before="240" w:after="0" w:line="280" w:lineRule="exact"/>
        <w:rPr>
          <w:lang w:val="en-US"/>
        </w:rPr>
      </w:pPr>
      <w:r w:rsidRPr="000948A6">
        <w:rPr>
          <w:lang w:val="en-US"/>
        </w:rPr>
        <w:t xml:space="preserve">For more information contact us by phone at +49 4102 463 500, by email at </w:t>
      </w:r>
      <w:hyperlink r:id="rId12" w:history="1">
        <w:r w:rsidRPr="000948A6">
          <w:rPr>
            <w:rStyle w:val="Hyperlink"/>
            <w:lang w:val="en-US"/>
          </w:rPr>
          <w:t>sales.europe@baslerweb.com</w:t>
        </w:r>
      </w:hyperlink>
      <w:r w:rsidRPr="000948A6">
        <w:rPr>
          <w:lang w:val="en-US"/>
        </w:rPr>
        <w:t xml:space="preserve"> or via our website at </w:t>
      </w:r>
      <w:hyperlink r:id="rId13" w:history="1">
        <w:r w:rsidRPr="000948A6">
          <w:rPr>
            <w:rStyle w:val="Hyperlink"/>
            <w:lang w:val="en-US"/>
          </w:rPr>
          <w:t>www.baslerweb.com</w:t>
        </w:r>
      </w:hyperlink>
      <w:r w:rsidRPr="000948A6">
        <w:rPr>
          <w:lang w:val="en-US"/>
        </w:rPr>
        <w:t>.</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6F4FBDA4" w14:textId="77777777" w:rsidR="004D27A8" w:rsidRPr="00BB7D27" w:rsidRDefault="004D27A8" w:rsidP="004D27A8">
      <w:pPr>
        <w:pStyle w:val="Textkrper2"/>
        <w:spacing w:after="0" w:line="280" w:lineRule="exact"/>
        <w:rPr>
          <w:rFonts w:cs="Arial"/>
          <w:b/>
          <w:snapToGrid/>
          <w:sz w:val="20"/>
          <w:lang w:val="en-US"/>
        </w:rPr>
      </w:pPr>
      <w:r w:rsidRPr="00BB7D27">
        <w:rPr>
          <w:rFonts w:cs="Arial"/>
          <w:b/>
          <w:snapToGrid/>
          <w:sz w:val="20"/>
          <w:lang w:val="en-US"/>
        </w:rPr>
        <w:t xml:space="preserve">Press </w:t>
      </w:r>
      <w:r w:rsidR="00D311A4">
        <w:rPr>
          <w:rFonts w:cs="Arial"/>
          <w:b/>
          <w:snapToGrid/>
          <w:sz w:val="20"/>
          <w:lang w:val="en-US"/>
        </w:rPr>
        <w:t>C</w:t>
      </w:r>
      <w:r w:rsidRPr="00BB7D27">
        <w:rPr>
          <w:rFonts w:cs="Arial"/>
          <w:b/>
          <w:snapToGrid/>
          <w:sz w:val="20"/>
          <w:lang w:val="en-US"/>
        </w:rPr>
        <w:t xml:space="preserve">ontact: </w:t>
      </w:r>
    </w:p>
    <w:p w14:paraId="2AAA7144" w14:textId="615FB3B6" w:rsidR="004D27A8" w:rsidRPr="00BB7D27" w:rsidRDefault="004D27A8" w:rsidP="4DBA18A0">
      <w:pPr>
        <w:spacing w:after="0" w:line="280" w:lineRule="exact"/>
        <w:jc w:val="left"/>
        <w:rPr>
          <w:rFonts w:cs="Arial"/>
          <w:lang w:val="en-US"/>
        </w:rPr>
      </w:pPr>
      <w:r w:rsidRPr="47B47AF8">
        <w:rPr>
          <w:rFonts w:cs="Arial"/>
          <w:lang w:val="en-US"/>
        </w:rPr>
        <w:t>Frank von Kittlitz – Content &amp; PR</w:t>
      </w:r>
    </w:p>
    <w:p w14:paraId="488FEC57" w14:textId="7475E796" w:rsidR="004D27A8" w:rsidRPr="00D3140C" w:rsidRDefault="004D27A8" w:rsidP="4DBA18A0">
      <w:pPr>
        <w:spacing w:after="0" w:line="280" w:lineRule="exact"/>
        <w:jc w:val="left"/>
        <w:rPr>
          <w:rFonts w:cs="Arial"/>
        </w:rPr>
      </w:pPr>
      <w:r w:rsidRPr="00D3140C">
        <w:rPr>
          <w:rFonts w:cs="Arial"/>
          <w:snapToGrid w:val="0"/>
        </w:rPr>
        <w:t>Tel. +49 4102 463 171</w:t>
      </w:r>
    </w:p>
    <w:p w14:paraId="0A565CE4" w14:textId="7475E796" w:rsidR="004D27A8" w:rsidRPr="00D3140C" w:rsidRDefault="004D27A8" w:rsidP="004D27A8">
      <w:pPr>
        <w:spacing w:after="0" w:line="280" w:lineRule="exact"/>
        <w:jc w:val="left"/>
        <w:rPr>
          <w:rFonts w:cs="Arial"/>
          <w:snapToGrid w:val="0"/>
        </w:rPr>
      </w:pPr>
      <w:r w:rsidRPr="00D3140C">
        <w:t>Frank.vonKittlitz</w:t>
      </w:r>
      <w:r w:rsidRPr="00D3140C">
        <w:rPr>
          <w:rFonts w:cs="Arial"/>
        </w:rPr>
        <w:t>@baslerweb.com</w:t>
      </w:r>
    </w:p>
    <w:p w14:paraId="2E365D43" w14:textId="77777777" w:rsidR="004D27A8" w:rsidRPr="00D3140C" w:rsidRDefault="004D27A8" w:rsidP="004D27A8">
      <w:pPr>
        <w:spacing w:after="0" w:line="280" w:lineRule="exact"/>
        <w:jc w:val="left"/>
        <w:rPr>
          <w:rFonts w:cs="Arial"/>
          <w:b/>
        </w:rPr>
      </w:pPr>
    </w:p>
    <w:p w14:paraId="76A4A349" w14:textId="77777777" w:rsidR="004D27A8" w:rsidRPr="00BB7D27" w:rsidRDefault="004D27A8" w:rsidP="004D27A8">
      <w:pPr>
        <w:spacing w:after="0" w:line="280" w:lineRule="exact"/>
        <w:jc w:val="left"/>
        <w:rPr>
          <w:rFonts w:cs="Arial"/>
          <w:b/>
        </w:rPr>
      </w:pPr>
      <w:r w:rsidRPr="00BB7D27">
        <w:rPr>
          <w:rFonts w:cs="Arial"/>
          <w:b/>
        </w:rPr>
        <w:t>Basler AG</w:t>
      </w:r>
    </w:p>
    <w:p w14:paraId="25192075" w14:textId="77777777" w:rsidR="004D27A8" w:rsidRPr="00BB7D27" w:rsidRDefault="00BB7D27" w:rsidP="004D27A8">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004D27A8" w:rsidRPr="00BB7D27">
        <w:rPr>
          <w:rFonts w:cs="Arial"/>
        </w:rPr>
        <w:t>62</w:t>
      </w:r>
    </w:p>
    <w:p w14:paraId="4FFEE293" w14:textId="77777777" w:rsidR="004D27A8" w:rsidRDefault="004D27A8" w:rsidP="004D27A8">
      <w:pPr>
        <w:spacing w:after="0" w:line="280" w:lineRule="exact"/>
        <w:jc w:val="left"/>
        <w:rPr>
          <w:rFonts w:cs="Arial"/>
        </w:rPr>
      </w:pPr>
      <w:r w:rsidRPr="00BB7D27">
        <w:rPr>
          <w:rFonts w:cs="Arial"/>
        </w:rPr>
        <w:t>22926 Ahrensburg</w:t>
      </w:r>
    </w:p>
    <w:p w14:paraId="0046F27B" w14:textId="77777777" w:rsidR="00BB7D27" w:rsidRPr="00BB7D27" w:rsidRDefault="00BB7D27" w:rsidP="004D27A8">
      <w:pPr>
        <w:spacing w:after="0" w:line="280" w:lineRule="exact"/>
        <w:jc w:val="left"/>
        <w:rPr>
          <w:rFonts w:cs="Arial"/>
        </w:rPr>
      </w:pPr>
      <w:r>
        <w:rPr>
          <w:rFonts w:cs="Arial"/>
        </w:rPr>
        <w:t>Germany</w:t>
      </w:r>
    </w:p>
    <w:p w14:paraId="3CD0FA54" w14:textId="77777777" w:rsidR="009B6A39" w:rsidRPr="00BB7D27" w:rsidRDefault="00000000" w:rsidP="004D27A8">
      <w:pPr>
        <w:pStyle w:val="Speichermdienb"/>
        <w:tabs>
          <w:tab w:val="clear" w:pos="4820"/>
        </w:tabs>
        <w:spacing w:after="0" w:line="280" w:lineRule="exact"/>
        <w:rPr>
          <w:rFonts w:cs="Arial"/>
          <w:snapToGrid w:val="0"/>
          <w:sz w:val="20"/>
        </w:rPr>
      </w:pPr>
      <w:hyperlink r:id="rId14" w:history="1">
        <w:r w:rsidR="009B6A39" w:rsidRPr="000908AB">
          <w:rPr>
            <w:rStyle w:val="Hyperlink"/>
            <w:rFonts w:cs="Arial"/>
            <w:snapToGrid w:val="0"/>
            <w:sz w:val="20"/>
          </w:rPr>
          <w:t>www.baslerweb.com</w:t>
        </w:r>
      </w:hyperlink>
    </w:p>
    <w:p w14:paraId="38203159" w14:textId="77777777" w:rsidR="00B87890" w:rsidRPr="00BB7D27" w:rsidRDefault="00B87890" w:rsidP="004D27A8"/>
    <w:sectPr w:rsidR="00B87890" w:rsidRPr="00BB7D27" w:rsidSect="00C23253">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FC87" w14:textId="77777777" w:rsidR="008F685F" w:rsidRDefault="008F685F">
      <w:r>
        <w:separator/>
      </w:r>
    </w:p>
  </w:endnote>
  <w:endnote w:type="continuationSeparator" w:id="0">
    <w:p w14:paraId="2A4876C3" w14:textId="77777777" w:rsidR="008F685F" w:rsidRDefault="008F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3341" w14:textId="77777777" w:rsidR="008F685F" w:rsidRDefault="008F685F">
      <w:r>
        <w:separator/>
      </w:r>
    </w:p>
  </w:footnote>
  <w:footnote w:type="continuationSeparator" w:id="0">
    <w:p w14:paraId="3B5A941F" w14:textId="77777777" w:rsidR="008F685F" w:rsidRDefault="008F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375089111">
    <w:abstractNumId w:val="8"/>
  </w:num>
  <w:num w:numId="2" w16cid:durableId="322859442">
    <w:abstractNumId w:val="9"/>
  </w:num>
  <w:num w:numId="3" w16cid:durableId="2054695821">
    <w:abstractNumId w:val="7"/>
  </w:num>
  <w:num w:numId="4" w16cid:durableId="306937652">
    <w:abstractNumId w:val="6"/>
  </w:num>
  <w:num w:numId="5" w16cid:durableId="120345144">
    <w:abstractNumId w:val="5"/>
  </w:num>
  <w:num w:numId="6" w16cid:durableId="292753606">
    <w:abstractNumId w:val="4"/>
  </w:num>
  <w:num w:numId="7" w16cid:durableId="1784299408">
    <w:abstractNumId w:val="3"/>
  </w:num>
  <w:num w:numId="8" w16cid:durableId="266274326">
    <w:abstractNumId w:val="2"/>
  </w:num>
  <w:num w:numId="9" w16cid:durableId="166793953">
    <w:abstractNumId w:val="1"/>
  </w:num>
  <w:num w:numId="10" w16cid:durableId="1036084367">
    <w:abstractNumId w:val="0"/>
  </w:num>
  <w:num w:numId="11" w16cid:durableId="1510100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03582"/>
    <w:rsid w:val="000359C6"/>
    <w:rsid w:val="000948A6"/>
    <w:rsid w:val="000D3A08"/>
    <w:rsid w:val="000E1AFF"/>
    <w:rsid w:val="000E400B"/>
    <w:rsid w:val="000F7A89"/>
    <w:rsid w:val="00151384"/>
    <w:rsid w:val="001A7D72"/>
    <w:rsid w:val="001D2C21"/>
    <w:rsid w:val="00285558"/>
    <w:rsid w:val="002A05FF"/>
    <w:rsid w:val="002C5349"/>
    <w:rsid w:val="002D6E66"/>
    <w:rsid w:val="00341825"/>
    <w:rsid w:val="0037541C"/>
    <w:rsid w:val="00461454"/>
    <w:rsid w:val="004D27A8"/>
    <w:rsid w:val="005359B6"/>
    <w:rsid w:val="00680B1F"/>
    <w:rsid w:val="0068412E"/>
    <w:rsid w:val="0072594C"/>
    <w:rsid w:val="00747793"/>
    <w:rsid w:val="007F0032"/>
    <w:rsid w:val="00835F53"/>
    <w:rsid w:val="00867C1D"/>
    <w:rsid w:val="008A2DFD"/>
    <w:rsid w:val="008E1C89"/>
    <w:rsid w:val="008F685F"/>
    <w:rsid w:val="009326E6"/>
    <w:rsid w:val="009B6A39"/>
    <w:rsid w:val="00A0035A"/>
    <w:rsid w:val="00A84E16"/>
    <w:rsid w:val="00AA5798"/>
    <w:rsid w:val="00AD5952"/>
    <w:rsid w:val="00AF63C4"/>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311A4"/>
    <w:rsid w:val="00D3140C"/>
    <w:rsid w:val="00D863D8"/>
    <w:rsid w:val="00DD6907"/>
    <w:rsid w:val="00E40D40"/>
    <w:rsid w:val="00E5086A"/>
    <w:rsid w:val="00EA4BC9"/>
    <w:rsid w:val="00F14810"/>
    <w:rsid w:val="00FB17A7"/>
    <w:rsid w:val="02C2EE68"/>
    <w:rsid w:val="0C020469"/>
    <w:rsid w:val="16A7858B"/>
    <w:rsid w:val="183A9A78"/>
    <w:rsid w:val="184355EC"/>
    <w:rsid w:val="1A62CACE"/>
    <w:rsid w:val="1DBAD100"/>
    <w:rsid w:val="21C633EC"/>
    <w:rsid w:val="276BED78"/>
    <w:rsid w:val="2DE7A14A"/>
    <w:rsid w:val="30D6F545"/>
    <w:rsid w:val="415D3781"/>
    <w:rsid w:val="43246D2D"/>
    <w:rsid w:val="43A6A056"/>
    <w:rsid w:val="4618AA97"/>
    <w:rsid w:val="46708444"/>
    <w:rsid w:val="47B47AF8"/>
    <w:rsid w:val="4850822D"/>
    <w:rsid w:val="4859C5DF"/>
    <w:rsid w:val="4BAF26C9"/>
    <w:rsid w:val="4DBA18A0"/>
    <w:rsid w:val="56F51091"/>
    <w:rsid w:val="5940DBE6"/>
    <w:rsid w:val="70FB25A6"/>
    <w:rsid w:val="730E48E5"/>
    <w:rsid w:val="748F2584"/>
    <w:rsid w:val="75172D73"/>
    <w:rsid w:val="7683BD59"/>
    <w:rsid w:val="78D84422"/>
    <w:rsid w:val="7AF7B904"/>
    <w:rsid w:val="7E594D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les.europe@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lerwe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lerwe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5" ma:contentTypeDescription="Ein neues Dokument erstellen." ma:contentTypeScope="" ma:versionID="8714071a1c6a598af82ec13f8377068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37823a31568833aa045d16a7d3fde589"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3.xml><?xml version="1.0" encoding="utf-8"?>
<ds:datastoreItem xmlns:ds="http://schemas.openxmlformats.org/officeDocument/2006/customXml" ds:itemID="{53146AF4-5257-4962-BD4F-6C8013CAB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3503</Characters>
  <Application>Microsoft Office Word</Application>
  <DocSecurity>0</DocSecurity>
  <Lines>29</Lines>
  <Paragraphs>8</Paragraphs>
  <ScaleCrop>false</ScaleCrop>
  <Company>Unbekannte Organisation</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von Kittlitz, Frank</cp:lastModifiedBy>
  <cp:revision>18</cp:revision>
  <cp:lastPrinted>2002-08-23T08:41:00Z</cp:lastPrinted>
  <dcterms:created xsi:type="dcterms:W3CDTF">2022-02-01T10:57:00Z</dcterms:created>
  <dcterms:modified xsi:type="dcterms:W3CDTF">2022-08-03T10:18:00Z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TemplateUrl">
    <vt:lpwstr/>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MediaServiceImageTags">
    <vt:lpwstr/>
  </property>
</Properties>
</file>