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14E35" w:rsidR="00727817" w:rsidP="6EB15769" w:rsidRDefault="6EB15769" w14:paraId="7F50C569" w14:textId="77777777">
      <w:pPr>
        <w:pStyle w:val="Textkrper3"/>
        <w:spacing w:after="0"/>
        <w:rPr>
          <w:b w:val="0"/>
          <w:sz w:val="24"/>
          <w:szCs w:val="24"/>
        </w:rPr>
      </w:pPr>
      <w:r w:rsidRPr="6D0F5983" w:rsidR="6EB15769">
        <w:rPr>
          <w:b w:val="0"/>
          <w:bCs w:val="0"/>
          <w:sz w:val="24"/>
          <w:szCs w:val="24"/>
        </w:rPr>
        <w:t>PRESSEMITTEILUNG</w:t>
      </w:r>
    </w:p>
    <w:p w:rsidR="21C2602D" w:rsidP="21C2602D" w:rsidRDefault="21C2602D" w14:paraId="38297F19" w14:textId="0E8119F1">
      <w:pPr>
        <w:pStyle w:val="Textkrper3"/>
        <w:spacing w:after="0"/>
        <w:rPr>
          <w:lang w:val="en-US"/>
        </w:rPr>
      </w:pPr>
    </w:p>
    <w:p w:rsidR="0A4814B6" w:rsidP="0A4814B6" w:rsidRDefault="0A4814B6" w14:paraId="63E838EF" w14:textId="7F0B7174">
      <w:pPr>
        <w:pStyle w:val="Textkrper3"/>
        <w:bidi w:val="0"/>
        <w:spacing w:before="0" w:beforeAutospacing="off" w:after="0" w:afterAutospacing="off"/>
        <w:ind w:left="0" w:right="0"/>
        <w:jc w:val="left"/>
        <w:rPr>
          <w:lang w:val="en-US"/>
        </w:rPr>
      </w:pPr>
      <w:r w:rsidRPr="0A4814B6" w:rsidR="0A4814B6">
        <w:rPr>
          <w:rFonts w:ascii="Arial" w:hAnsi="Arial" w:eastAsia="Times New Roman" w:cs="Times New Roman"/>
          <w:b w:val="1"/>
          <w:bCs w:val="1"/>
          <w:sz w:val="36"/>
          <w:szCs w:val="36"/>
          <w:lang w:val="en-US"/>
        </w:rPr>
        <w:t>Basler meldet starkes Jahresergebnis für 2021</w:t>
      </w:r>
    </w:p>
    <w:p w:rsidRPr="00AE3330" w:rsidR="00727817" w:rsidP="00727817" w:rsidRDefault="00727817" w14:paraId="43AD8C78" w14:textId="77777777">
      <w:pPr>
        <w:pStyle w:val="Textkrper3"/>
        <w:spacing w:after="0"/>
        <w:rPr>
          <w:b w:val="0"/>
          <w:sz w:val="22"/>
          <w:lang w:val="en-US"/>
        </w:rPr>
      </w:pPr>
    </w:p>
    <w:p w:rsidR="6D0F5983" w:rsidP="6D0F5983" w:rsidRDefault="6D0F5983" w14:paraId="3956F578" w14:textId="40E7B1AB">
      <w:pPr>
        <w:pStyle w:val="Standard"/>
        <w:tabs>
          <w:tab w:val="left" w:leader="none" w:pos="4820"/>
        </w:tabs>
        <w:bidi w:val="0"/>
        <w:spacing w:before="0" w:beforeAutospacing="off" w:after="72" w:afterAutospacing="off"/>
        <w:ind w:left="0" w:right="0"/>
        <w:jc w:val="left"/>
        <w:rPr>
          <w:rFonts w:ascii="Arial" w:hAnsi="Arial" w:eastAsia="Times New Roman" w:cs="Times New Roman"/>
          <w:b w:val="1"/>
          <w:bCs w:val="1"/>
          <w:sz w:val="22"/>
          <w:szCs w:val="22"/>
        </w:rPr>
      </w:pPr>
      <w:r w:rsidRPr="0A4814B6" w:rsidR="6D0F5983">
        <w:rPr>
          <w:b w:val="1"/>
          <w:bCs w:val="1"/>
          <w:sz w:val="22"/>
          <w:szCs w:val="22"/>
        </w:rPr>
        <w:t>Die Basler AG blickt trotz einiger Widrigkeiten auf ein sehr erfolgreiches Geschäftsjahr 2021 zurück: Umsätze wachsen um 26 %, Aufträge um 78 % auf neue Bestwerte. Auch für 2022 ist das Management des Unternehmens optimistisch gestimmt.</w:t>
      </w:r>
    </w:p>
    <w:p w:rsidRPr="00AE3330" w:rsidR="00727817" w:rsidP="00727817" w:rsidRDefault="00727817" w14:paraId="426AEB87" w14:textId="77777777">
      <w:pPr>
        <w:pStyle w:val="Speichermdienb"/>
        <w:spacing w:after="0"/>
        <w:jc w:val="both"/>
        <w:rPr>
          <w:b/>
        </w:rPr>
      </w:pPr>
    </w:p>
    <w:p w:rsidRPr="00357331" w:rsidR="00727817" w:rsidP="0A4814B6" w:rsidRDefault="00727817" w14:paraId="4855B998" w14:textId="5E45BC02">
      <w:pPr>
        <w:pStyle w:val="ASMListing"/>
        <w:tabs>
          <w:tab w:val="clear" w:leader="none" w:pos="1814"/>
          <w:tab w:val="clear" w:leader="none" w:pos="2722"/>
          <w:tab w:val="clear" w:leader="none" w:pos="5443"/>
          <w:tab w:val="left" w:leader="none" w:pos="4820"/>
        </w:tabs>
        <w:spacing w:before="0" w:beforeAutospacing="off" w:after="120" w:afterAutospacing="off" w:line="240" w:lineRule="auto"/>
        <w:ind w:left="0" w:right="0"/>
        <w:jc w:val="both"/>
        <w:rPr>
          <w:rFonts w:ascii="Arial" w:hAnsi="Arial" w:eastAsia="Arial" w:cs="Arial"/>
          <w:b w:val="0"/>
          <w:bCs w:val="0"/>
          <w:sz w:val="22"/>
          <w:szCs w:val="22"/>
        </w:rPr>
      </w:pPr>
      <w:r w:rsidRPr="00AE3330" w:rsidR="00727817">
        <w:rPr>
          <w:rFonts w:ascii="Arial" w:hAnsi="Arial" w:eastAsia="Arial" w:cs="Arial"/>
          <w:b w:val="1"/>
          <w:bCs w:val="1"/>
          <w:sz w:val="22"/>
          <w:szCs w:val="22"/>
        </w:rPr>
        <w:t xml:space="preserve">Ahrensburg, 30. März 2022 </w:t>
      </w:r>
      <w:r w:rsidRPr="0A4814B6" w:rsidR="00727817">
        <w:rPr>
          <w:rFonts w:ascii="Arial" w:hAnsi="Arial" w:eastAsia="Arial" w:cs="Arial"/>
          <w:b w:val="0"/>
          <w:bCs w:val="0"/>
          <w:sz w:val="22"/>
          <w:szCs w:val="22"/>
        </w:rPr>
        <w:t xml:space="preserve">- </w:t>
      </w:r>
      <w:r w:rsidRPr="0A4814B6" w:rsidR="0A4814B6">
        <w:rPr>
          <w:rFonts w:ascii="Arial" w:hAnsi="Arial" w:eastAsia="Arial" w:cs="Arial"/>
          <w:b w:val="0"/>
          <w:bCs w:val="0"/>
          <w:sz w:val="22"/>
          <w:szCs w:val="22"/>
        </w:rPr>
        <w:t>Die Basler AG, ein führender Anbieter von Bildverarbeitungs-Komponenten für Computer Vision Anwendungen, hat heute ihren Jahresabschluss 2021 vorgelegt.</w:t>
      </w:r>
    </w:p>
    <w:p w:rsidRPr="00357331" w:rsidR="00727817" w:rsidP="0A4814B6" w:rsidRDefault="00727817" w14:paraId="20857917" w14:textId="5FF4DA65">
      <w:pPr>
        <w:pStyle w:val="ASMListing"/>
        <w:tabs>
          <w:tab w:val="clear" w:leader="none" w:pos="1814"/>
          <w:tab w:val="clear" w:leader="none" w:pos="2722"/>
          <w:tab w:val="clear" w:leader="none" w:pos="5443"/>
          <w:tab w:val="left" w:leader="none" w:pos="4820"/>
        </w:tabs>
        <w:bidi w:val="0"/>
        <w:spacing w:before="0" w:beforeAutospacing="off" w:after="120" w:afterAutospacing="off" w:line="240" w:lineRule="auto"/>
        <w:ind w:left="0" w:right="0"/>
        <w:jc w:val="both"/>
        <w:rPr>
          <w:rFonts w:eastAsia="Arial" w:cs="Arial"/>
          <w:sz w:val="22"/>
          <w:szCs w:val="22"/>
        </w:rPr>
      </w:pPr>
      <w:r w:rsidRPr="7C477313" w:rsidR="0A4814B6">
        <w:rPr>
          <w:rFonts w:ascii="Arial" w:hAnsi="Arial" w:eastAsia="Arial" w:cs="Arial"/>
          <w:b w:val="0"/>
          <w:bCs w:val="0"/>
          <w:sz w:val="22"/>
          <w:szCs w:val="22"/>
        </w:rPr>
        <w:t>In einem starken Marktumfeld, aber einem durch Engpässe für Halbleiterkomponenten erheblich beeinträchtigtem Geschäftsjahr 2021, konnte der Basler Konzern ein Umsatzwachstum von 26 % auf 214,7 Mio. Euro (VJ: 170,5 Mio. Euro) erreichen. Der Auftragseingang wuchs mit 78 % auf 322,5 Mio. Euro (VJ: 181,6 Mio. Euro). In Auftragseingang und Umsatz verzeichnete das Unternehmen damit neue Rekorde. Das Vorsteuerergebnis stieg um 37 % auf 28,0 Mio. Euro (VJ: 20,4 Mio. Euro). Die Rendite vor Steuern betrug 13,0 % (VJ: 12,0 %). Mit diesen Resultaten erfüllt Basler, trotz einer Cyber-Attacke im November, die Prognose und wuchs dabei stärker als der deutsche Markt für Bildverarbeitungskomponenten: Der Verband Deutscher Maschinen- und Anlagenbau (VDMA) berichtet für 2021 für die Branche einen Umsatzanstieg in Höhe von 17 % und ein Anstieg der Auftragseingänge um 28 %.</w:t>
      </w:r>
    </w:p>
    <w:p w:rsidRPr="00357331" w:rsidR="00727817" w:rsidP="0A4814B6" w:rsidRDefault="00727817" w14:paraId="1FAD3543" w14:textId="19221ED8">
      <w:pPr>
        <w:pStyle w:val="ASMListing"/>
        <w:tabs>
          <w:tab w:val="clear" w:leader="none" w:pos="1814"/>
          <w:tab w:val="clear" w:leader="none" w:pos="2722"/>
          <w:tab w:val="clear" w:leader="none" w:pos="5443"/>
          <w:tab w:val="left" w:leader="none" w:pos="4820"/>
        </w:tabs>
        <w:bidi w:val="0"/>
        <w:spacing w:before="0" w:beforeAutospacing="off" w:after="120" w:afterAutospacing="off" w:line="240" w:lineRule="auto"/>
        <w:ind w:left="0" w:right="0"/>
        <w:jc w:val="both"/>
        <w:rPr>
          <w:rFonts w:ascii="Arial" w:hAnsi="Arial" w:eastAsia="Arial" w:cs="Arial"/>
          <w:b w:val="1"/>
          <w:bCs w:val="1"/>
          <w:sz w:val="22"/>
          <w:szCs w:val="22"/>
        </w:rPr>
      </w:pPr>
    </w:p>
    <w:p w:rsidRPr="00357331" w:rsidR="00727817" w:rsidP="0A4814B6" w:rsidRDefault="00727817" w14:paraId="738736CF" w14:textId="019604C0">
      <w:pPr>
        <w:pStyle w:val="ASMListing"/>
        <w:tabs>
          <w:tab w:val="clear" w:leader="none" w:pos="1814"/>
          <w:tab w:val="clear" w:leader="none" w:pos="2722"/>
          <w:tab w:val="clear" w:leader="none" w:pos="5443"/>
          <w:tab w:val="left" w:leader="none" w:pos="4820"/>
        </w:tabs>
        <w:bidi w:val="0"/>
        <w:spacing w:before="0" w:beforeAutospacing="off" w:after="120" w:afterAutospacing="off" w:line="240" w:lineRule="auto"/>
        <w:ind w:left="0" w:right="0"/>
        <w:jc w:val="both"/>
        <w:rPr>
          <w:rFonts w:ascii="Arial" w:hAnsi="Arial" w:eastAsia="Arial" w:cs="Arial"/>
          <w:b w:val="1"/>
          <w:bCs w:val="1"/>
          <w:sz w:val="22"/>
          <w:szCs w:val="22"/>
        </w:rPr>
      </w:pPr>
      <w:r w:rsidRPr="0A4814B6" w:rsidR="0A4814B6">
        <w:rPr>
          <w:rFonts w:ascii="Arial" w:hAnsi="Arial" w:eastAsia="Arial" w:cs="Arial"/>
          <w:b w:val="1"/>
          <w:bCs w:val="1"/>
          <w:sz w:val="22"/>
          <w:szCs w:val="22"/>
        </w:rPr>
        <w:t xml:space="preserve">Ausblick </w:t>
      </w:r>
    </w:p>
    <w:p w:rsidRPr="00357331" w:rsidR="00727817" w:rsidP="0A4814B6" w:rsidRDefault="00727817" w14:paraId="5B9DAAA0" w14:textId="44075BFE">
      <w:pPr>
        <w:pStyle w:val="ASMListing"/>
        <w:tabs>
          <w:tab w:val="clear" w:leader="none" w:pos="1814"/>
          <w:tab w:val="clear" w:leader="none" w:pos="2722"/>
          <w:tab w:val="clear" w:leader="none" w:pos="5443"/>
          <w:tab w:val="left" w:leader="none" w:pos="4820"/>
        </w:tabs>
        <w:bidi w:val="0"/>
        <w:spacing w:before="0" w:beforeAutospacing="off" w:after="120" w:afterAutospacing="off" w:line="240" w:lineRule="auto"/>
        <w:ind w:left="0" w:right="0"/>
        <w:jc w:val="both"/>
        <w:rPr>
          <w:rFonts w:eastAsia="Arial" w:cs="Arial"/>
          <w:sz w:val="22"/>
          <w:szCs w:val="22"/>
        </w:rPr>
      </w:pPr>
      <w:r w:rsidRPr="0A4814B6" w:rsidR="0A4814B6">
        <w:rPr>
          <w:rFonts w:ascii="Arial" w:hAnsi="Arial" w:eastAsia="Arial" w:cs="Arial"/>
          <w:b w:val="0"/>
          <w:bCs w:val="0"/>
          <w:sz w:val="22"/>
          <w:szCs w:val="22"/>
        </w:rPr>
        <w:t>Herausforderungen in der Beschaffung von Halbleiterkomponenten werden voraussichtlich auch im Geschäftsjahr 2022 der begrenzende Faktor für das Wachstum bleiben. Weiterhin führt der Krieg in der Ukraine und die damit verbundenen politischen Unruhen zu neuen Unsicherheiten, deren Auswirkungen aktuell noch schwer absehbar sind.</w:t>
      </w:r>
      <w:r w:rsidRPr="6EB15769">
        <w:rPr>
          <w:rFonts w:ascii="Arial" w:hAnsi="Arial"/>
          <w:b/>
          <w:sz w:val="22"/>
        </w:rPr>
      </w:r>
    </w:p>
    <w:p w:rsidR="0A4814B6" w:rsidP="0A4814B6" w:rsidRDefault="0A4814B6" w14:paraId="61F2482C" w14:textId="0A8BD288">
      <w:pPr>
        <w:pStyle w:val="ASMListing"/>
        <w:tabs>
          <w:tab w:val="clear" w:leader="none" w:pos="1814"/>
          <w:tab w:val="clear" w:leader="none" w:pos="2722"/>
          <w:tab w:val="clear" w:leader="none" w:pos="5443"/>
          <w:tab w:val="left" w:leader="none" w:pos="4820"/>
        </w:tabs>
        <w:spacing w:before="0" w:beforeAutospacing="off" w:after="120" w:afterAutospacing="off"/>
        <w:ind w:left="0" w:right="0"/>
        <w:jc w:val="both"/>
        <w:rPr>
          <w:rFonts w:eastAsia="Arial" w:cs="Arial"/>
          <w:noProof/>
          <w:sz w:val="22"/>
          <w:szCs w:val="22"/>
        </w:rPr>
      </w:pPr>
      <w:r w:rsidRPr="0A4814B6" w:rsidR="0A4814B6">
        <w:rPr>
          <w:rFonts w:ascii="Arial" w:hAnsi="Arial" w:eastAsia="Arial" w:cs="Arial"/>
          <w:noProof/>
          <w:sz w:val="22"/>
          <w:szCs w:val="22"/>
        </w:rPr>
        <w:t>Die jüngsten Wachstumssignale in allen Absatzregionen stimmen das Management aber grundsätzlich optimistisch für das neue Geschäftsjahr. Auf Basis der aktuellen Informationen plant der Basler Konzern im Geschäftsjahr 2022 einen Umsatz zwischen 235 Mio. Euro und 265 Mio. Euro zu erreichen. Abhängig von der Umsatzhöhe ergäbe dies eine Vorsteuerrendite zwischen 9 % und 12 %. Grundlage dieser Einschätzung ist ein anhaltend starker Investitionszyklus verbunden mit leichten Verbesserungen in den Lieferketten. Der relativ breite Korridor reflektieren die aktuellen Dynamiken auf den Absatz- und Beschaffungsmärkten sowie die Integration der kürzlich akquirierten Distributionspartner in Korea. Diese Prognose steht im Einklang mit der ambitionierten Mittelfristplanung des Konzerns, bis Ende 2025 einen Umsatz von etwa 400 Mio. Euro bei einer EBT-Marge von im Mittel 12 % zu erzielen.</w:t>
      </w:r>
    </w:p>
    <w:p w:rsidR="0A4814B6" w:rsidP="0A4814B6" w:rsidRDefault="0A4814B6" w14:paraId="4E0CCECC" w14:textId="1E06BBF0">
      <w:pPr>
        <w:pStyle w:val="ASMListing"/>
        <w:tabs>
          <w:tab w:val="clear" w:leader="none" w:pos="1814"/>
          <w:tab w:val="clear" w:leader="none" w:pos="2722"/>
          <w:tab w:val="clear" w:leader="none" w:pos="5443"/>
          <w:tab w:val="left" w:leader="none" w:pos="4820"/>
        </w:tabs>
        <w:bidi w:val="0"/>
        <w:spacing w:before="0" w:beforeAutospacing="off" w:after="120" w:afterAutospacing="off"/>
        <w:ind w:left="0" w:right="0"/>
        <w:jc w:val="both"/>
        <w:rPr>
          <w:rFonts w:eastAsia="Arial" w:cs="Arial"/>
          <w:noProof/>
          <w:sz w:val="22"/>
          <w:szCs w:val="22"/>
        </w:rPr>
      </w:pPr>
      <w:r w:rsidRPr="0A4814B6" w:rsidR="0A4814B6">
        <w:rPr>
          <w:rFonts w:ascii="Arial" w:hAnsi="Arial" w:eastAsia="Arial" w:cs="Arial"/>
          <w:noProof/>
          <w:sz w:val="22"/>
          <w:szCs w:val="22"/>
        </w:rPr>
        <w:t>Der vollständige Geschäftsbericht kann auf der Internetseite des Unternehmens eingesehen werden (www.baslerweb.com).</w:t>
      </w:r>
    </w:p>
    <w:p w:rsidRPr="0005190F" w:rsidR="00727817" w:rsidP="00727817" w:rsidRDefault="00727817" w14:paraId="2A191F3D" w14:textId="77777777">
      <w:pPr>
        <w:pBdr>
          <w:bottom w:val="single" w:color="auto" w:sz="4" w:space="1"/>
        </w:pBdr>
        <w:rPr>
          <w:rFonts w:cs="Arial"/>
          <w:sz w:val="22"/>
          <w:szCs w:val="22"/>
        </w:rPr>
      </w:pPr>
    </w:p>
    <w:p w:rsidRPr="001861E9" w:rsidR="00664F2B" w:rsidP="6EB15769" w:rsidRDefault="6EB15769" w14:paraId="20D025BA" w14:textId="386BEBC1">
      <w:pPr>
        <w:pBdr>
          <w:bottom w:val="single" w:color="auto" w:sz="4" w:space="1"/>
        </w:pBdr>
        <w:rPr>
          <w:rFonts w:eastAsia="Arial" w:cs="Arial"/>
          <w:b w:val="1"/>
          <w:bCs w:val="1"/>
          <w:sz w:val="22"/>
          <w:szCs w:val="22"/>
        </w:rPr>
      </w:pPr>
      <w:r w:rsidRPr="0A4814B6" w:rsidR="6EB15769">
        <w:rPr>
          <w:rFonts w:eastAsia="Arial" w:cs="Arial"/>
          <w:b w:val="1"/>
          <w:bCs w:val="1"/>
          <w:sz w:val="22"/>
          <w:szCs w:val="22"/>
        </w:rPr>
        <w:t>Bildunterschrift: Das Hauptgebäude der Basler AG in Ahrensburg</w:t>
      </w:r>
      <w:r>
        <w:br/>
      </w:r>
    </w:p>
    <w:p w:rsidR="6EB15769" w:rsidRDefault="6EB15769" w14:paraId="1315F1D8" w14:textId="0CD068EA">
      <w:r w:rsidRPr="20DB1407" w:rsidR="6EB15769">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Pr="20DB1407" w:rsidR="7F64111C">
        <w:rPr>
          <w:rFonts w:eastAsia="Arial" w:cs="Arial"/>
          <w:sz w:val="22"/>
          <w:szCs w:val="22"/>
        </w:rPr>
        <w:t>10</w:t>
      </w:r>
      <w:r w:rsidRPr="20DB1407" w:rsidR="6EB15769">
        <w:rPr>
          <w:rFonts w:eastAsia="Arial" w:cs="Arial"/>
          <w:sz w:val="22"/>
          <w:szCs w:val="22"/>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rsidR="00727817" w:rsidP="0050784E" w:rsidRDefault="6EB15769" w14:paraId="0C3605AD" w14:textId="77777777">
      <w:pPr>
        <w:autoSpaceDE w:val="0"/>
        <w:autoSpaceDN w:val="0"/>
        <w:spacing w:before="240" w:after="0" w:line="280" w:lineRule="exact"/>
      </w:pPr>
      <w:r>
        <w:t xml:space="preserve">Weitere Informationen sind erhältlich unter der Telefonnummer +49 4102 463 500, per E-Mail an </w:t>
      </w:r>
      <w:hyperlink r:id="rId10">
        <w:r w:rsidRPr="6EB15769">
          <w:rPr>
            <w:rStyle w:val="Hyperlink"/>
          </w:rPr>
          <w:t>sales.europe@baslerweb.com</w:t>
        </w:r>
      </w:hyperlink>
      <w:r>
        <w:t xml:space="preserve"> oder über die Website </w:t>
      </w:r>
      <w:hyperlink r:id="rId11">
        <w:r w:rsidRPr="6EB15769">
          <w:rPr>
            <w:rStyle w:val="Hyperlink"/>
          </w:rPr>
          <w:t>www.baslerweb.com</w:t>
        </w:r>
      </w:hyperlink>
      <w:r>
        <w:t>.</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AD108A" w:rsidR="00727817" w:rsidP="6EB15769" w:rsidRDefault="00727817" w14:paraId="67D10541" w14:textId="77777777">
      <w:pPr>
        <w:pStyle w:val="Textkrper2"/>
        <w:spacing w:after="72"/>
        <w:rPr>
          <w:b/>
          <w:bCs/>
          <w:sz w:val="20"/>
        </w:rPr>
      </w:pPr>
      <w:r w:rsidRPr="6EB15769">
        <w:rPr>
          <w:b/>
          <w:bCs/>
          <w:snapToGrid/>
          <w:sz w:val="20"/>
        </w:rPr>
        <w:t>Pressekontakt:</w:t>
      </w:r>
    </w:p>
    <w:p w:rsidRPr="00AD108A" w:rsidR="00727817" w:rsidP="0A4814B6" w:rsidRDefault="00727817" w14:paraId="58C369F3" w14:textId="70CDDD50">
      <w:pPr>
        <w:spacing w:after="0" w:line="280" w:lineRule="exact"/>
        <w:jc w:val="left"/>
        <w:rPr>
          <w:noProof/>
        </w:rPr>
      </w:pPr>
      <w:r w:rsidR="00727817">
        <w:rPr/>
        <w:t>Frank von Kittlitz – Content &amp; PR</w:t>
      </w:r>
    </w:p>
    <w:p w:rsidRPr="00AE3330" w:rsidR="00727817" w:rsidP="0A4814B6" w:rsidRDefault="00727817" w14:paraId="5BC47939" w14:textId="77777777">
      <w:pPr>
        <w:spacing w:after="0" w:line="280" w:lineRule="exact"/>
        <w:jc w:val="left"/>
        <w:rPr>
          <w:noProof/>
        </w:rPr>
      </w:pPr>
      <w:r w:rsidRPr="00AE3330" w:rsidR="00727817">
        <w:rPr>
          <w:snapToGrid w:val="0"/>
        </w:rPr>
        <w:t xml:space="preserve">Tel. +49 4102 463 171</w:t>
      </w:r>
    </w:p>
    <w:p w:rsidRPr="00AD108A" w:rsidR="00727817" w:rsidP="0A4814B6" w:rsidRDefault="00727817" w14:paraId="1B6B79C5" w14:textId="77777777">
      <w:pPr>
        <w:spacing w:after="0" w:line="280" w:lineRule="exact"/>
        <w:jc w:val="left"/>
        <w:rPr>
          <w:noProof/>
          <w:lang w:val="fr-FR"/>
        </w:rPr>
      </w:pPr>
      <w:r w:rsidRPr="00AD108A" w:rsidR="00727817">
        <w:rPr>
          <w:lang w:val="fr-FR"/>
        </w:rPr>
        <w:t xml:space="preserve">Fax +49 4102 463 46171</w:t>
      </w:r>
    </w:p>
    <w:p w:rsidRPr="00AD108A" w:rsidR="00727817" w:rsidP="6EB15769" w:rsidRDefault="00727817" w14:paraId="052B29ED" w14:textId="77777777">
      <w:pPr>
        <w:spacing w:after="0" w:line="280" w:lineRule="exact"/>
        <w:jc w:val="left"/>
        <w:rPr>
          <w:lang w:val="fr-FR"/>
        </w:rPr>
      </w:pPr>
      <w:r w:rsidRPr="00AD108A" w:rsidR="00727817">
        <w:rPr>
          <w:lang w:val="fr-FR"/>
        </w:rPr>
        <w:t>Frank.vonKittlitz@baslerweb.com</w:t>
      </w:r>
    </w:p>
    <w:p w:rsidRPr="00AE3330" w:rsidR="00727817" w:rsidP="00727817" w:rsidRDefault="00727817" w14:paraId="63F414C7" w14:textId="77777777">
      <w:pPr>
        <w:spacing w:after="0" w:line="280" w:lineRule="exact"/>
        <w:jc w:val="left"/>
        <w:rPr>
          <w:b/>
          <w:lang w:val="fr-FR"/>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 xml:space="preserve">An der </w:t>
      </w:r>
      <w:proofErr w:type="spellStart"/>
      <w:r>
        <w:t>Strusbek</w:t>
      </w:r>
      <w:proofErr w:type="spellEnd"/>
      <w:r>
        <w:t xml:space="preserve">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A17973" w14:paraId="64A74955" w14:textId="77777777">
      <w:pPr>
        <w:spacing w:after="0" w:line="280" w:lineRule="exact"/>
        <w:jc w:val="left"/>
      </w:pPr>
      <w:hyperlink w:history="1" r:id="rId12">
        <w:r w:rsidRPr="000908AB" w:rsidR="00FE6311">
          <w:rPr>
            <w:rStyle w:val="Hyperlink"/>
          </w:rPr>
          <w:t>www.baslerweb.com</w:t>
        </w:r>
      </w:hyperlink>
    </w:p>
    <w:sectPr w:rsidRPr="00AD108A" w:rsidR="00FE6311"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7973" w:rsidRDefault="00A17973" w14:paraId="647E9436" w14:textId="77777777">
      <w:r>
        <w:separator/>
      </w:r>
    </w:p>
  </w:endnote>
  <w:endnote w:type="continuationSeparator" w:id="0">
    <w:p w:rsidR="00A17973" w:rsidRDefault="00A17973" w14:paraId="5470D7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7973" w:rsidRDefault="00A17973" w14:paraId="01A685E9" w14:textId="77777777">
      <w:r>
        <w:separator/>
      </w:r>
    </w:p>
  </w:footnote>
  <w:footnote w:type="continuationSeparator" w:id="0">
    <w:p w:rsidR="00A17973" w:rsidRDefault="00A17973" w14:paraId="043FC4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51A78719" w14:textId="77777777">
    <w:pPr>
      <w:pStyle w:val="Kopfzeile"/>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5190F"/>
    <w:rsid w:val="00067CBA"/>
    <w:rsid w:val="00090BDC"/>
    <w:rsid w:val="00092C18"/>
    <w:rsid w:val="0009430C"/>
    <w:rsid w:val="000A7621"/>
    <w:rsid w:val="00132DD0"/>
    <w:rsid w:val="00172E91"/>
    <w:rsid w:val="001861E9"/>
    <w:rsid w:val="001941D6"/>
    <w:rsid w:val="001B7B1D"/>
    <w:rsid w:val="00240A81"/>
    <w:rsid w:val="00265F9C"/>
    <w:rsid w:val="002D317E"/>
    <w:rsid w:val="00347E0F"/>
    <w:rsid w:val="00357331"/>
    <w:rsid w:val="00363F09"/>
    <w:rsid w:val="00414E35"/>
    <w:rsid w:val="004C07A9"/>
    <w:rsid w:val="004D34C5"/>
    <w:rsid w:val="0050784E"/>
    <w:rsid w:val="005B4C4E"/>
    <w:rsid w:val="00640829"/>
    <w:rsid w:val="00650B5B"/>
    <w:rsid w:val="00664F2B"/>
    <w:rsid w:val="006E67D7"/>
    <w:rsid w:val="00727817"/>
    <w:rsid w:val="007B614A"/>
    <w:rsid w:val="00836732"/>
    <w:rsid w:val="008F3D5E"/>
    <w:rsid w:val="009677F1"/>
    <w:rsid w:val="00967CA2"/>
    <w:rsid w:val="009A3E81"/>
    <w:rsid w:val="00A17973"/>
    <w:rsid w:val="00AB37FA"/>
    <w:rsid w:val="00AD108A"/>
    <w:rsid w:val="00AE3330"/>
    <w:rsid w:val="00B449BC"/>
    <w:rsid w:val="00B82DCF"/>
    <w:rsid w:val="00C365A0"/>
    <w:rsid w:val="00C53778"/>
    <w:rsid w:val="00C74225"/>
    <w:rsid w:val="00C97395"/>
    <w:rsid w:val="00CC2CF5"/>
    <w:rsid w:val="00D3083B"/>
    <w:rsid w:val="00D63ADC"/>
    <w:rsid w:val="00D72DCB"/>
    <w:rsid w:val="00D80BDD"/>
    <w:rsid w:val="00DB419E"/>
    <w:rsid w:val="00DD2FEC"/>
    <w:rsid w:val="00DE0B94"/>
    <w:rsid w:val="00E4312D"/>
    <w:rsid w:val="00EA0928"/>
    <w:rsid w:val="00EA6677"/>
    <w:rsid w:val="00EC5FB4"/>
    <w:rsid w:val="00F25991"/>
    <w:rsid w:val="00F310B5"/>
    <w:rsid w:val="00F613AD"/>
    <w:rsid w:val="00F8594A"/>
    <w:rsid w:val="00FB7929"/>
    <w:rsid w:val="00FE6311"/>
    <w:rsid w:val="0A368D7E"/>
    <w:rsid w:val="0A4814B6"/>
    <w:rsid w:val="0A50023C"/>
    <w:rsid w:val="0AC5728F"/>
    <w:rsid w:val="137F9E5A"/>
    <w:rsid w:val="153BBB75"/>
    <w:rsid w:val="1B40C09C"/>
    <w:rsid w:val="1CA56156"/>
    <w:rsid w:val="1F3A0668"/>
    <w:rsid w:val="20DB1407"/>
    <w:rsid w:val="2172310F"/>
    <w:rsid w:val="21A7A310"/>
    <w:rsid w:val="21C2602D"/>
    <w:rsid w:val="25D3784F"/>
    <w:rsid w:val="274D05D3"/>
    <w:rsid w:val="2A37DE9F"/>
    <w:rsid w:val="2CE179F0"/>
    <w:rsid w:val="2FB30F61"/>
    <w:rsid w:val="319EDE2A"/>
    <w:rsid w:val="32A0C080"/>
    <w:rsid w:val="34701CC9"/>
    <w:rsid w:val="34D36378"/>
    <w:rsid w:val="3520FD17"/>
    <w:rsid w:val="38FEF9FE"/>
    <w:rsid w:val="3A4E95A8"/>
    <w:rsid w:val="3D286500"/>
    <w:rsid w:val="3DC1304A"/>
    <w:rsid w:val="3DD26B21"/>
    <w:rsid w:val="3FF16D6B"/>
    <w:rsid w:val="415EDBE8"/>
    <w:rsid w:val="483A5061"/>
    <w:rsid w:val="4914EAF7"/>
    <w:rsid w:val="4AE37B51"/>
    <w:rsid w:val="4E324BBD"/>
    <w:rsid w:val="4EC32981"/>
    <w:rsid w:val="4FE7B43B"/>
    <w:rsid w:val="51BCE03F"/>
    <w:rsid w:val="52C3BAC3"/>
    <w:rsid w:val="548A5D97"/>
    <w:rsid w:val="55FB5B85"/>
    <w:rsid w:val="606868C1"/>
    <w:rsid w:val="645C8691"/>
    <w:rsid w:val="6504479E"/>
    <w:rsid w:val="6504479E"/>
    <w:rsid w:val="66117F4F"/>
    <w:rsid w:val="662B16EB"/>
    <w:rsid w:val="698CE810"/>
    <w:rsid w:val="69D7B8C1"/>
    <w:rsid w:val="6B738922"/>
    <w:rsid w:val="6D0F5983"/>
    <w:rsid w:val="6EB15769"/>
    <w:rsid w:val="6FD1F931"/>
    <w:rsid w:val="72F07196"/>
    <w:rsid w:val="743B7AB4"/>
    <w:rsid w:val="748BD2B8"/>
    <w:rsid w:val="748C41F7"/>
    <w:rsid w:val="748C41F7"/>
    <w:rsid w:val="7577A825"/>
    <w:rsid w:val="76FA5029"/>
    <w:rsid w:val="77137886"/>
    <w:rsid w:val="77C3E2B9"/>
    <w:rsid w:val="7C477313"/>
    <w:rsid w:val="7D6991AD"/>
    <w:rsid w:val="7D717F33"/>
    <w:rsid w:val="7E33243D"/>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E530"/>
  <w15:docId w15:val="{81F7D0C0-A6DC-4DF4-ACEF-4064446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slerweb.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sales.europe@baslerweb.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microsoft.com/office/2011/relationships/people" Target="people.xml" Id="R56a081128734494e" /><Relationship Type="http://schemas.microsoft.com/office/2011/relationships/commentsExtended" Target="commentsExtended.xml" Id="R4746d11e69554d5e" /><Relationship Type="http://schemas.microsoft.com/office/2016/09/relationships/commentsIds" Target="commentsIds.xml" Id="R2f02a5fd46744eeb"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3975643B-E7A8-4515-901C-C9E751CC8B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Tischendorf, Eva</lastModifiedBy>
  <revision>21</revision>
  <lastPrinted>2002-08-23T08:41:00.0000000Z</lastPrinted>
  <dcterms:created xsi:type="dcterms:W3CDTF">2018-01-11T16:14:00.0000000Z</dcterms:created>
  <dcterms:modified xsi:type="dcterms:W3CDTF">2022-03-30T09:27:14.1194652Z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